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EC" w:rsidRPr="00BD3287" w:rsidRDefault="005D33EC" w:rsidP="005D33EC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5D33EC" w:rsidRPr="00DE27A2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5D33EC" w:rsidRPr="00DE27A2" w:rsidRDefault="005D33EC" w:rsidP="005D33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5D33EC" w:rsidRPr="00CC4948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5D33EC" w:rsidRPr="00C9275E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5D3741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5D33EC" w:rsidRPr="0038347D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5D33EC" w:rsidRPr="007426A8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905DBC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C74211">
        <w:rPr>
          <w:rFonts w:ascii="Times New Roman" w:hAnsi="Times New Roman"/>
          <w:i/>
          <w:color w:val="000000"/>
          <w:sz w:val="22"/>
          <w:szCs w:val="22"/>
        </w:rPr>
        <w:t>1/2021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5D33EC" w:rsidRPr="00083074" w:rsidTr="002F379B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5D33EC" w:rsidRPr="00083074" w:rsidTr="002F379B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C74211">
              <w:rPr>
                <w:rFonts w:ascii="Times New Roman" w:hAnsi="Times New Roman"/>
                <w:b/>
                <w:color w:val="000000"/>
                <w:szCs w:val="20"/>
              </w:rPr>
              <w:t>1/2021</w:t>
            </w: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5D33EC" w:rsidRPr="00DE27A2" w:rsidRDefault="005D33EC" w:rsidP="005D33EC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sa prečiarknite</w:t>
      </w:r>
    </w:p>
    <w:p w:rsidR="005D33EC" w:rsidRPr="00DE27A2" w:rsidRDefault="005D33EC" w:rsidP="005D33EC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Pr="00DE27A2" w:rsidRDefault="005D33EC" w:rsidP="005D33EC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5D33EC" w:rsidRPr="00ED628A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5D33EC" w:rsidRDefault="005D33EC" w:rsidP="005D33EC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5D33EC" w:rsidRPr="00F13E75" w:rsidRDefault="005D33EC" w:rsidP="005D33EC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5D33EC" w:rsidRPr="00F13E75" w:rsidRDefault="005D33EC" w:rsidP="005D33EC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C74211">
        <w:rPr>
          <w:rFonts w:ascii="Times New Roman" w:hAnsi="Times New Roman"/>
          <w:b/>
          <w:color w:val="000000"/>
          <w:sz w:val="22"/>
        </w:rPr>
        <w:t>Hutnícky materiál 1/2021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5D33EC" w:rsidRPr="00F13E75" w:rsidRDefault="005D33EC" w:rsidP="005D33EC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5D33EC" w:rsidRPr="00F13E75" w:rsidRDefault="005D33EC" w:rsidP="005D33EC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5D33EC" w:rsidRPr="00F13E75" w:rsidRDefault="005D33EC" w:rsidP="005D33EC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5D33EC" w:rsidRPr="00F13E75" w:rsidRDefault="005D33EC" w:rsidP="005D33EC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7C3A6" wp14:editId="4DF9C345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542658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5D33EC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5D33EC" w:rsidRPr="00F13E75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5D33EC" w:rsidRPr="00F13E75" w:rsidRDefault="005D33EC" w:rsidP="005D33EC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5D33EC" w:rsidRPr="00F13E75" w:rsidRDefault="005D33EC" w:rsidP="005D33EC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C74211">
        <w:rPr>
          <w:rFonts w:ascii="Times New Roman" w:hAnsi="Times New Roman"/>
          <w:b/>
          <w:bCs/>
          <w:sz w:val="22"/>
        </w:rPr>
        <w:t>Hutnícky materiál 1/2021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5D33EC" w:rsidRPr="00F13E75" w:rsidRDefault="005D33EC" w:rsidP="005D33EC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 xml:space="preserve">kona č. 343/2015 </w:t>
      </w:r>
      <w:proofErr w:type="spellStart"/>
      <w:r>
        <w:rPr>
          <w:rFonts w:ascii="Times New Roman" w:hAnsi="Times New Roman"/>
          <w:sz w:val="22"/>
        </w:rPr>
        <w:t>Z.z</w:t>
      </w:r>
      <w:proofErr w:type="spellEnd"/>
      <w:r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5D33EC" w:rsidRPr="00F13E75" w:rsidRDefault="005D33EC" w:rsidP="005D33EC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51399" wp14:editId="008D8CC8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281594" id="Rovná spojnica 20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:rsidR="000E5CD6" w:rsidRPr="005D33EC" w:rsidRDefault="000E5CD6">
      <w:pPr>
        <w:rPr>
          <w:rFonts w:ascii="Times New Roman" w:hAnsi="Times New Roman"/>
          <w:sz w:val="22"/>
          <w:szCs w:val="22"/>
        </w:rPr>
      </w:pPr>
      <w:bookmarkStart w:id="2" w:name="_GoBack"/>
      <w:bookmarkEnd w:id="2"/>
    </w:p>
    <w:sectPr w:rsidR="000E5CD6" w:rsidRPr="005D3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EC"/>
    <w:rsid w:val="000E5CD6"/>
    <w:rsid w:val="005D33EC"/>
    <w:rsid w:val="00905DBC"/>
    <w:rsid w:val="00C7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71EF"/>
  <w15:chartTrackingRefBased/>
  <w15:docId w15:val="{4D219153-44ED-4BDF-B862-EFA3EF79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33E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5D33EC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D33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33EC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D33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3</cp:revision>
  <dcterms:created xsi:type="dcterms:W3CDTF">2020-10-06T11:38:00Z</dcterms:created>
  <dcterms:modified xsi:type="dcterms:W3CDTF">2021-01-12T19:05:00Z</dcterms:modified>
</cp:coreProperties>
</file>